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E" w:rsidRDefault="0005798E" w:rsidP="0005798E">
      <w:pPr>
        <w:spacing w:after="120" w:line="240" w:lineRule="auto"/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68580</wp:posOffset>
            </wp:positionV>
            <wp:extent cx="1581150" cy="1813560"/>
            <wp:effectExtent l="19050" t="0" r="0" b="0"/>
            <wp:wrapTight wrapText="bothSides">
              <wp:wrapPolygon edited="0">
                <wp:start x="-260" y="0"/>
                <wp:lineTo x="-260" y="21328"/>
                <wp:lineTo x="21600" y="21328"/>
                <wp:lineTo x="21600" y="0"/>
                <wp:lineTo x="-260" y="0"/>
              </wp:wrapPolygon>
            </wp:wrapTight>
            <wp:docPr id="2" name="Picture 0" descr="AKnopp_Headshot - Aaron Knopp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nopp_Headshot - Aaron Knopp resiz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A04" w:rsidRPr="0090766D">
        <w:rPr>
          <w:b/>
          <w:sz w:val="24"/>
        </w:rPr>
        <w:t xml:space="preserve">Incidence and outcomes of </w:t>
      </w:r>
      <w:proofErr w:type="spellStart"/>
      <w:r w:rsidR="00F44A04" w:rsidRPr="0090766D">
        <w:rPr>
          <w:b/>
          <w:sz w:val="24"/>
        </w:rPr>
        <w:t>hyperchloremia</w:t>
      </w:r>
      <w:proofErr w:type="spellEnd"/>
      <w:r w:rsidR="00F44A04" w:rsidRPr="0090766D">
        <w:rPr>
          <w:b/>
          <w:sz w:val="24"/>
        </w:rPr>
        <w:t xml:space="preserve"> subsequent to hypertonic saline use</w:t>
      </w:r>
    </w:p>
    <w:p w:rsidR="00F44A04" w:rsidRPr="00CC679E" w:rsidRDefault="00BE2308" w:rsidP="0005798E">
      <w:pPr>
        <w:spacing w:after="120" w:line="240" w:lineRule="auto"/>
      </w:pPr>
      <w:proofErr w:type="gramStart"/>
      <w:r>
        <w:rPr>
          <w:i/>
        </w:rPr>
        <w:t xml:space="preserve">Presented by </w:t>
      </w:r>
      <w:r w:rsidRPr="00BE2308">
        <w:t xml:space="preserve">Andrew </w:t>
      </w:r>
      <w:proofErr w:type="spellStart"/>
      <w:r w:rsidRPr="00BE2308">
        <w:t>Knopp</w:t>
      </w:r>
      <w:proofErr w:type="spellEnd"/>
      <w:r w:rsidRPr="00BE2308">
        <w:t xml:space="preserve">, </w:t>
      </w:r>
      <w:proofErr w:type="spellStart"/>
      <w:r w:rsidRPr="00BE2308">
        <w:t>PharmD</w:t>
      </w:r>
      <w:proofErr w:type="spellEnd"/>
      <w:r w:rsidRPr="00BE2308">
        <w:t xml:space="preserve">, Yale New Haven Hospital, New Haven, CT </w:t>
      </w:r>
      <w:r w:rsidRPr="00BE2308">
        <w:br/>
      </w:r>
      <w:r>
        <w:rPr>
          <w:i/>
        </w:rPr>
        <w:t>Co-a</w:t>
      </w:r>
      <w:r w:rsidR="00C87F4D" w:rsidRPr="000D48D5">
        <w:rPr>
          <w:i/>
        </w:rPr>
        <w:t>uthors</w:t>
      </w:r>
      <w:r w:rsidR="00C87F4D">
        <w:t xml:space="preserve">: </w:t>
      </w:r>
      <w:r w:rsidR="00F44A04" w:rsidRPr="00CC679E">
        <w:t>AA.</w:t>
      </w:r>
      <w:proofErr w:type="gramEnd"/>
      <w:r w:rsidR="00F44A04" w:rsidRPr="00CC679E">
        <w:t xml:space="preserve"> West, M. Ammar, A. Ammar, A. Zan</w:t>
      </w:r>
      <w:r>
        <w:t>iewski; Yale New Haven Hospital</w:t>
      </w:r>
      <w:r w:rsidR="00F44A04" w:rsidRPr="00CC679E">
        <w:t xml:space="preserve">, New Haven, </w:t>
      </w:r>
      <w:r>
        <w:t>CT</w:t>
      </w:r>
    </w:p>
    <w:p w:rsidR="00F44A04" w:rsidRPr="00DE1413" w:rsidRDefault="00F44A04" w:rsidP="00C87F4D">
      <w:pPr>
        <w:spacing w:after="120" w:line="240" w:lineRule="auto"/>
        <w:jc w:val="both"/>
      </w:pPr>
      <w:r w:rsidRPr="00C87F4D">
        <w:rPr>
          <w:b/>
        </w:rPr>
        <w:t>OBJECTIVE</w:t>
      </w:r>
      <w:r w:rsidR="000D48D5">
        <w:rPr>
          <w:b/>
        </w:rPr>
        <w:br/>
      </w:r>
      <w:r w:rsidRPr="00CC679E">
        <w:t xml:space="preserve">Hypertonic saline (HTS) is </w:t>
      </w:r>
      <w:r w:rsidRPr="00DE1413">
        <w:t xml:space="preserve">a </w:t>
      </w:r>
      <w:proofErr w:type="spellStart"/>
      <w:r w:rsidRPr="00DE1413">
        <w:t>hyperosmolar</w:t>
      </w:r>
      <w:proofErr w:type="spellEnd"/>
      <w:r w:rsidRPr="00DE1413">
        <w:t xml:space="preserve"> </w:t>
      </w:r>
      <w:r>
        <w:t>therapy</w:t>
      </w:r>
      <w:r w:rsidRPr="00DE1413">
        <w:t xml:space="preserve"> used to </w:t>
      </w:r>
      <w:r>
        <w:t>lower</w:t>
      </w:r>
      <w:r w:rsidRPr="00DE1413">
        <w:t xml:space="preserve"> </w:t>
      </w:r>
      <w:proofErr w:type="gramStart"/>
      <w:r w:rsidRPr="00DE1413">
        <w:t>intracranial</w:t>
      </w:r>
      <w:proofErr w:type="gramEnd"/>
      <w:r w:rsidRPr="00DE1413">
        <w:t xml:space="preserve"> pressure (ICP)</w:t>
      </w:r>
      <w:r>
        <w:t xml:space="preserve"> in patients with neurological injuries. HTS </w:t>
      </w:r>
      <w:proofErr w:type="gramStart"/>
      <w:r>
        <w:t>can be administered</w:t>
      </w:r>
      <w:proofErr w:type="gramEnd"/>
      <w:r>
        <w:t xml:space="preserve"> as</w:t>
      </w:r>
      <w:r w:rsidRPr="00DE1413">
        <w:t xml:space="preserve"> continuous infusion </w:t>
      </w:r>
      <w:r w:rsidR="00565B55">
        <w:t>(1.5</w:t>
      </w:r>
      <w:r>
        <w:t xml:space="preserve">% or 3% </w:t>
      </w:r>
      <w:r w:rsidR="00220D35">
        <w:t>sodium chloride</w:t>
      </w:r>
      <w:r>
        <w:t xml:space="preserve">) </w:t>
      </w:r>
      <w:r w:rsidRPr="00DE1413">
        <w:t>or bolus dosing</w:t>
      </w:r>
      <w:r>
        <w:t xml:space="preserve"> (23.4%</w:t>
      </w:r>
      <w:r w:rsidR="00220D35">
        <w:t xml:space="preserve"> sodium chloride</w:t>
      </w:r>
      <w:r>
        <w:t>)</w:t>
      </w:r>
      <w:r w:rsidRPr="00DE1413">
        <w:t xml:space="preserve">. Use of a guideline to direct administration and monitoring of HTS helps maintain safe practices, yet the concentrated solution continues to introduce </w:t>
      </w:r>
      <w:r w:rsidR="00220D35">
        <w:t xml:space="preserve">risk </w:t>
      </w:r>
      <w:r w:rsidRPr="00DE1413">
        <w:t xml:space="preserve">based on sodium and chloride burden. </w:t>
      </w:r>
      <w:r>
        <w:t>The goal of this study is to evaluate</w:t>
      </w:r>
      <w:r w:rsidRPr="00DE1413">
        <w:t xml:space="preserve"> the</w:t>
      </w:r>
      <w:r>
        <w:t xml:space="preserve"> incidence and</w:t>
      </w:r>
      <w:r w:rsidRPr="00DE1413">
        <w:t xml:space="preserve"> outcomes </w:t>
      </w:r>
      <w:r>
        <w:t xml:space="preserve">associated with </w:t>
      </w:r>
      <w:proofErr w:type="spellStart"/>
      <w:r w:rsidRPr="00DE1413">
        <w:t>hyperchloremia</w:t>
      </w:r>
      <w:proofErr w:type="spellEnd"/>
      <w:r w:rsidRPr="00DE1413">
        <w:t xml:space="preserve"> </w:t>
      </w:r>
      <w:r>
        <w:t xml:space="preserve">secondary </w:t>
      </w:r>
      <w:r w:rsidRPr="00DE1413">
        <w:t xml:space="preserve">to HTS exposure </w:t>
      </w:r>
      <w:r>
        <w:t>to determine</w:t>
      </w:r>
      <w:r w:rsidRPr="00DE1413">
        <w:t xml:space="preserve"> if a formulary alternative and/or guideline </w:t>
      </w:r>
      <w:r>
        <w:t>revision would</w:t>
      </w:r>
      <w:r w:rsidRPr="00DE1413">
        <w:t xml:space="preserve"> improve patient safety.</w:t>
      </w:r>
    </w:p>
    <w:p w:rsidR="00F44A04" w:rsidRPr="00DE1413" w:rsidRDefault="00F44A04" w:rsidP="00C87F4D">
      <w:pPr>
        <w:spacing w:after="120" w:line="240" w:lineRule="auto"/>
        <w:jc w:val="both"/>
      </w:pPr>
      <w:r w:rsidRPr="00C87F4D">
        <w:rPr>
          <w:b/>
        </w:rPr>
        <w:t>METHODS</w:t>
      </w:r>
      <w:r w:rsidR="000D48D5">
        <w:br/>
      </w:r>
      <w:r w:rsidRPr="00DE1413">
        <w:t xml:space="preserve">Medical records of patients admitted to the neurosciences intensive care unit of </w:t>
      </w:r>
      <w:r>
        <w:t>YNHH</w:t>
      </w:r>
      <w:r w:rsidRPr="00DE1413">
        <w:t xml:space="preserve"> </w:t>
      </w:r>
      <w:r w:rsidR="00220D35">
        <w:t>within</w:t>
      </w:r>
      <w:r w:rsidRPr="00DE1413">
        <w:t xml:space="preserve"> </w:t>
      </w:r>
      <w:r w:rsidR="006C3DC3">
        <w:t xml:space="preserve">a </w:t>
      </w:r>
      <w:proofErr w:type="gramStart"/>
      <w:r w:rsidR="006C3DC3">
        <w:t>six month</w:t>
      </w:r>
      <w:proofErr w:type="gramEnd"/>
      <w:r w:rsidR="006C3DC3">
        <w:t xml:space="preserve"> period</w:t>
      </w:r>
      <w:r w:rsidRPr="00DE1413">
        <w:t xml:space="preserve"> </w:t>
      </w:r>
      <w:r w:rsidR="00220D35">
        <w:t>who</w:t>
      </w:r>
      <w:r>
        <w:t xml:space="preserve"> received </w:t>
      </w:r>
      <w:r w:rsidRPr="00DE1413">
        <w:t xml:space="preserve">HTS for ICP management were reviewed. </w:t>
      </w:r>
      <w:r>
        <w:t xml:space="preserve">The primary outcome evaluated was the incidence </w:t>
      </w:r>
      <w:r w:rsidRPr="00DE1413">
        <w:t xml:space="preserve">of moderate </w:t>
      </w:r>
      <w:proofErr w:type="spellStart"/>
      <w:r w:rsidRPr="00DE1413">
        <w:t>hyperchloremia</w:t>
      </w:r>
      <w:proofErr w:type="spellEnd"/>
      <w:r w:rsidRPr="00DE1413">
        <w:t xml:space="preserve"> (</w:t>
      </w:r>
      <w:r w:rsidRPr="00DE1413">
        <w:rPr>
          <w:rFonts w:cstheme="minorHAnsi"/>
        </w:rPr>
        <w:t>≥</w:t>
      </w:r>
      <w:r w:rsidRPr="00DE1413">
        <w:t xml:space="preserve">115 </w:t>
      </w:r>
      <w:proofErr w:type="spellStart"/>
      <w:r w:rsidRPr="00DE1413">
        <w:t>mEq</w:t>
      </w:r>
      <w:proofErr w:type="spellEnd"/>
      <w:r w:rsidRPr="00DE1413">
        <w:t xml:space="preserve">/L) </w:t>
      </w:r>
      <w:r>
        <w:t xml:space="preserve">after HTS initiation. Additionally, the duration of HTS exposure </w:t>
      </w:r>
      <w:proofErr w:type="gramStart"/>
      <w:r>
        <w:t>was assessed</w:t>
      </w:r>
      <w:proofErr w:type="gramEnd"/>
      <w:r>
        <w:t xml:space="preserve"> as a secondary outcome</w:t>
      </w:r>
      <w:r w:rsidRPr="00DE1413">
        <w:t xml:space="preserve">. </w:t>
      </w:r>
      <w:r>
        <w:t xml:space="preserve">Safety outcomes evaluated in this study included the incidence of mortality, acute kidney injury (AKI), and metabolic acidosis due to </w:t>
      </w:r>
      <w:proofErr w:type="spellStart"/>
      <w:r>
        <w:t>hyperchloremia</w:t>
      </w:r>
      <w:proofErr w:type="spellEnd"/>
      <w:r>
        <w:t xml:space="preserve">. </w:t>
      </w:r>
      <w:r w:rsidRPr="00DE1413">
        <w:t>If an absolute difference &gt;20% amongst</w:t>
      </w:r>
      <w:r>
        <w:t xml:space="preserve"> safety</w:t>
      </w:r>
      <w:r w:rsidRPr="00DE1413">
        <w:t xml:space="preserve"> outcomes was determined between groups, consideration toward revision of a HTS use guideline, or implementation of a buffered solution alternative with sodium acetate, </w:t>
      </w:r>
      <w:r>
        <w:t>was</w:t>
      </w:r>
      <w:r w:rsidRPr="00DE1413">
        <w:t xml:space="preserve"> evaluated.</w:t>
      </w:r>
    </w:p>
    <w:p w:rsidR="00F44A04" w:rsidRPr="00DE1413" w:rsidRDefault="00F44A04" w:rsidP="00C87F4D">
      <w:pPr>
        <w:spacing w:after="120" w:line="240" w:lineRule="auto"/>
        <w:jc w:val="both"/>
      </w:pPr>
      <w:r w:rsidRPr="00C87F4D">
        <w:rPr>
          <w:b/>
        </w:rPr>
        <w:t>RESULTS</w:t>
      </w:r>
      <w:r w:rsidR="000D48D5">
        <w:br/>
      </w:r>
      <w:proofErr w:type="gramStart"/>
      <w:r w:rsidRPr="00DE1413">
        <w:t>We</w:t>
      </w:r>
      <w:proofErr w:type="gramEnd"/>
      <w:r w:rsidRPr="00DE1413">
        <w:t xml:space="preserve"> screened 95 patients between January 1, 2019</w:t>
      </w:r>
      <w:r>
        <w:t>,</w:t>
      </w:r>
      <w:r w:rsidRPr="00DE1413">
        <w:t xml:space="preserve"> and June 30, 2019, of which 68 patients met inclusion criteria. The primary outcome of </w:t>
      </w:r>
      <w:proofErr w:type="spellStart"/>
      <w:r w:rsidRPr="00DE1413">
        <w:t>hyperchloremia</w:t>
      </w:r>
      <w:proofErr w:type="spellEnd"/>
      <w:r w:rsidRPr="00DE1413">
        <w:t xml:space="preserve"> was observed in 32.4% (n=22) of patients </w:t>
      </w:r>
      <w:proofErr w:type="gramStart"/>
      <w:r w:rsidRPr="00DE1413">
        <w:t>exposed</w:t>
      </w:r>
      <w:proofErr w:type="gramEnd"/>
      <w:r w:rsidRPr="00DE1413">
        <w:t xml:space="preserve"> to HTS therapy for ICP management. </w:t>
      </w:r>
      <w:r w:rsidR="006C3DC3">
        <w:t>A</w:t>
      </w:r>
      <w:r>
        <w:t xml:space="preserve">cute brain injury </w:t>
      </w:r>
      <w:r w:rsidRPr="00DE1413">
        <w:t xml:space="preserve">severity on admission </w:t>
      </w:r>
      <w:r>
        <w:t xml:space="preserve">for </w:t>
      </w:r>
      <w:r w:rsidR="006C3DC3">
        <w:t xml:space="preserve">the </w:t>
      </w:r>
      <w:proofErr w:type="spellStart"/>
      <w:r>
        <w:t>hyperchloremic</w:t>
      </w:r>
      <w:proofErr w:type="spellEnd"/>
      <w:r>
        <w:t xml:space="preserve"> and </w:t>
      </w:r>
      <w:proofErr w:type="spellStart"/>
      <w:r>
        <w:t>normochloremic</w:t>
      </w:r>
      <w:proofErr w:type="spellEnd"/>
      <w:r>
        <w:t xml:space="preserve"> cohort</w:t>
      </w:r>
      <w:r w:rsidR="006C3DC3">
        <w:t>s</w:t>
      </w:r>
      <w:r>
        <w:t xml:space="preserve"> </w:t>
      </w:r>
      <w:r w:rsidR="006C3DC3">
        <w:t>were</w:t>
      </w:r>
      <w:r w:rsidRPr="00DE1413">
        <w:t xml:space="preserve"> assessed by </w:t>
      </w:r>
      <w:r w:rsidR="006C3DC3">
        <w:t>mean (</w:t>
      </w:r>
      <w:r w:rsidR="006C3DC3">
        <w:rPr>
          <w:rFonts w:cstheme="minorHAnsi"/>
        </w:rPr>
        <w:t>±</w:t>
      </w:r>
      <w:r w:rsidR="006C3DC3">
        <w:t xml:space="preserve"> SD) </w:t>
      </w:r>
      <w:r w:rsidRPr="00DE1413">
        <w:t>Glasgow coma scale</w:t>
      </w:r>
      <w:r>
        <w:t xml:space="preserve">, </w:t>
      </w:r>
      <w:r w:rsidRPr="00DE1413">
        <w:t>10.</w:t>
      </w:r>
      <w:r>
        <w:t xml:space="preserve">8 </w:t>
      </w:r>
      <w:r>
        <w:rPr>
          <w:rFonts w:cstheme="minorHAnsi"/>
        </w:rPr>
        <w:t>(</w:t>
      </w:r>
      <w:r>
        <w:t>4.7), and 13.9 (2.1), respectively.</w:t>
      </w:r>
      <w:r w:rsidRPr="00DE1413">
        <w:t xml:space="preserve"> At baseline, patients were similar in age and renal function, while more females (</w:t>
      </w:r>
      <w:r>
        <w:t xml:space="preserve">68.2% </w:t>
      </w:r>
      <w:proofErr w:type="spellStart"/>
      <w:r>
        <w:t>h</w:t>
      </w:r>
      <w:r w:rsidRPr="00DE1413">
        <w:t>yperchloremic</w:t>
      </w:r>
      <w:proofErr w:type="spellEnd"/>
      <w:r w:rsidRPr="00DE1413">
        <w:t xml:space="preserve"> vs. </w:t>
      </w:r>
      <w:r>
        <w:t>47.8%</w:t>
      </w:r>
      <w:r w:rsidRPr="00DE1413">
        <w:t xml:space="preserve"> </w:t>
      </w:r>
      <w:proofErr w:type="spellStart"/>
      <w:r w:rsidRPr="00DE1413">
        <w:t>normochloremic</w:t>
      </w:r>
      <w:proofErr w:type="spellEnd"/>
      <w:r>
        <w:t>)</w:t>
      </w:r>
      <w:r w:rsidRPr="00DE1413">
        <w:t xml:space="preserve"> </w:t>
      </w:r>
      <w:r>
        <w:t>a</w:t>
      </w:r>
      <w:r w:rsidRPr="00DE1413">
        <w:t>nd h</w:t>
      </w:r>
      <w:r>
        <w:t xml:space="preserve">emorrhages </w:t>
      </w:r>
      <w:r w:rsidRPr="00DE1413">
        <w:t>(</w:t>
      </w:r>
      <w:r>
        <w:t xml:space="preserve">27.3% </w:t>
      </w:r>
      <w:proofErr w:type="spellStart"/>
      <w:r w:rsidRPr="00DE1413">
        <w:t>hyperchloremic</w:t>
      </w:r>
      <w:proofErr w:type="spellEnd"/>
      <w:r w:rsidRPr="00DE1413">
        <w:t xml:space="preserve"> vs. </w:t>
      </w:r>
      <w:r>
        <w:t>13.0%</w:t>
      </w:r>
      <w:r w:rsidRPr="00DE1413">
        <w:t xml:space="preserve"> </w:t>
      </w:r>
      <w:proofErr w:type="spellStart"/>
      <w:r w:rsidRPr="00DE1413">
        <w:t>normochloremic</w:t>
      </w:r>
      <w:proofErr w:type="spellEnd"/>
      <w:r>
        <w:t>)</w:t>
      </w:r>
      <w:r w:rsidRPr="00DE1413">
        <w:t xml:space="preserve"> </w:t>
      </w:r>
      <w:proofErr w:type="gramStart"/>
      <w:r w:rsidRPr="00DE1413">
        <w:t>were noted</w:t>
      </w:r>
      <w:proofErr w:type="gramEnd"/>
      <w:r w:rsidRPr="00DE1413">
        <w:t xml:space="preserve"> in those experiencing </w:t>
      </w:r>
      <w:proofErr w:type="spellStart"/>
      <w:r>
        <w:t>hyperchloremia</w:t>
      </w:r>
      <w:proofErr w:type="spellEnd"/>
      <w:r w:rsidRPr="00DE1413">
        <w:t xml:space="preserve">. Safety endpoints of mortality, </w:t>
      </w:r>
      <w:r>
        <w:t>AKI</w:t>
      </w:r>
      <w:r w:rsidRPr="00DE1413">
        <w:t xml:space="preserve">, and metabolic acidosis occurred in 40.9% (n=9), 54.5% (n=12), and 50.0% (n=11), respectively, in </w:t>
      </w:r>
      <w:proofErr w:type="spellStart"/>
      <w:r w:rsidRPr="00DE1413">
        <w:t>hyperchloremic</w:t>
      </w:r>
      <w:proofErr w:type="spellEnd"/>
      <w:r w:rsidRPr="00DE1413">
        <w:t xml:space="preserve"> patients. The same outcomes occurred in 2.2% (n=1), 13.0% (n=6), and 41.3% (n=19), respectively, in </w:t>
      </w:r>
      <w:proofErr w:type="spellStart"/>
      <w:r w:rsidRPr="00DE1413">
        <w:t>normochloremic</w:t>
      </w:r>
      <w:proofErr w:type="spellEnd"/>
      <w:r w:rsidRPr="00DE1413">
        <w:t xml:space="preserve"> patients.</w:t>
      </w:r>
      <w:r>
        <w:t xml:space="preserve"> Absolute difference &gt;20% between group safety outcomes </w:t>
      </w:r>
      <w:r w:rsidR="006C3DC3">
        <w:t>was</w:t>
      </w:r>
      <w:r>
        <w:t xml:space="preserve"> observed in mortality and AKI.</w:t>
      </w:r>
    </w:p>
    <w:p w:rsidR="00E07E84" w:rsidRDefault="00F44A04" w:rsidP="000D48D5">
      <w:pPr>
        <w:spacing w:after="120" w:line="240" w:lineRule="auto"/>
        <w:jc w:val="both"/>
      </w:pPr>
      <w:r w:rsidRPr="00C87F4D">
        <w:rPr>
          <w:b/>
        </w:rPr>
        <w:t>CONCLUSION</w:t>
      </w:r>
      <w:r w:rsidR="000D48D5">
        <w:br/>
      </w:r>
      <w:r>
        <w:t xml:space="preserve">This study demonstrates nearly one-third of patients exposed to HTS for ICP management experience </w:t>
      </w:r>
      <w:proofErr w:type="spellStart"/>
      <w:r>
        <w:t>hyperchloremia</w:t>
      </w:r>
      <w:proofErr w:type="spellEnd"/>
      <w:r>
        <w:t>, which is correlated with an increased incidence of mortality and AKI to support medication use guideline revision and alternative f</w:t>
      </w:r>
      <w:bookmarkStart w:id="0" w:name="_GoBack"/>
      <w:bookmarkEnd w:id="0"/>
      <w:r>
        <w:t>ormulary consideration.</w:t>
      </w:r>
    </w:p>
    <w:sectPr w:rsidR="00E07E84" w:rsidSect="0015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A04"/>
    <w:rsid w:val="0005798E"/>
    <w:rsid w:val="000D48D5"/>
    <w:rsid w:val="00154E46"/>
    <w:rsid w:val="00220D35"/>
    <w:rsid w:val="00222840"/>
    <w:rsid w:val="00316D4F"/>
    <w:rsid w:val="00565B55"/>
    <w:rsid w:val="006C3DC3"/>
    <w:rsid w:val="007D184C"/>
    <w:rsid w:val="0090766D"/>
    <w:rsid w:val="00BE2308"/>
    <w:rsid w:val="00C87F4D"/>
    <w:rsid w:val="00E07E84"/>
    <w:rsid w:val="00F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4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A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0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0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Knopp, Aaron</dc:creator>
  <cp:lastModifiedBy>soken</cp:lastModifiedBy>
  <cp:revision>2</cp:revision>
  <dcterms:created xsi:type="dcterms:W3CDTF">2020-06-12T17:40:00Z</dcterms:created>
  <dcterms:modified xsi:type="dcterms:W3CDTF">2020-06-12T17:40:00Z</dcterms:modified>
</cp:coreProperties>
</file>