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64FD" w14:textId="2F7EE118" w:rsidR="000B7A59" w:rsidRPr="00977ADC" w:rsidRDefault="00B8723C" w:rsidP="00B8723C">
      <w:pPr>
        <w:spacing w:after="0"/>
      </w:pPr>
      <w:r w:rsidRPr="00977ADC">
        <w:rPr>
          <w:b/>
          <w:bCs/>
        </w:rPr>
        <w:t xml:space="preserve">Project </w:t>
      </w:r>
      <w:r w:rsidR="00BE3717" w:rsidRPr="00977ADC">
        <w:rPr>
          <w:b/>
          <w:bCs/>
        </w:rPr>
        <w:t>T</w:t>
      </w:r>
      <w:r w:rsidRPr="00977ADC">
        <w:rPr>
          <w:b/>
          <w:bCs/>
        </w:rPr>
        <w:t>itle</w:t>
      </w:r>
      <w:r w:rsidRPr="00977ADC">
        <w:t>: Biomarker Testing Rates in Metastatic Non-Small Cell Lung Cancer</w:t>
      </w:r>
    </w:p>
    <w:p w14:paraId="3F6E3444" w14:textId="77777777" w:rsidR="00BE3717" w:rsidRPr="00977ADC" w:rsidRDefault="00BE3717" w:rsidP="00B8723C">
      <w:pPr>
        <w:spacing w:after="0"/>
      </w:pPr>
    </w:p>
    <w:p w14:paraId="7C0D89A8" w14:textId="661FE668" w:rsidR="00B8723C" w:rsidRPr="00977ADC" w:rsidRDefault="000852A5" w:rsidP="00B8723C">
      <w:pPr>
        <w:spacing w:after="0"/>
      </w:pPr>
      <w:r w:rsidRPr="00977ADC">
        <w:rPr>
          <w:b/>
          <w:bCs/>
        </w:rPr>
        <w:t>Authors:</w:t>
      </w:r>
      <w:r w:rsidR="00B8723C" w:rsidRPr="00977ADC">
        <w:t xml:space="preserve"> </w:t>
      </w:r>
      <w:r w:rsidRPr="00977ADC">
        <w:t xml:space="preserve">Jessica Zhao, PharmD; </w:t>
      </w:r>
      <w:r w:rsidR="00B8723C" w:rsidRPr="00977ADC">
        <w:t>Trinh Pham, PharmD, BCOP; Darren Luon, PharmD, BCOP; Matthew Milone, PharmD, BCOP</w:t>
      </w:r>
      <w:r w:rsidR="003D32EC" w:rsidRPr="00977ADC">
        <w:t>; Samantha Brongiel, PharmD, BCOP</w:t>
      </w:r>
    </w:p>
    <w:p w14:paraId="303433A6" w14:textId="77777777" w:rsidR="0051523A" w:rsidRPr="00977ADC" w:rsidRDefault="0051523A" w:rsidP="00B8723C">
      <w:pPr>
        <w:spacing w:after="0"/>
      </w:pPr>
    </w:p>
    <w:p w14:paraId="67A18AD3" w14:textId="357BA15D" w:rsidR="00997910" w:rsidRPr="00977ADC" w:rsidRDefault="00997910" w:rsidP="00B8723C">
      <w:pPr>
        <w:spacing w:after="0"/>
      </w:pPr>
      <w:bookmarkStart w:id="0" w:name="_Hlk132113690"/>
      <w:r w:rsidRPr="00977ADC">
        <w:rPr>
          <w:b/>
          <w:bCs/>
        </w:rPr>
        <w:t>Background/Purpose</w:t>
      </w:r>
      <w:r w:rsidRPr="00977ADC">
        <w:t>:</w:t>
      </w:r>
    </w:p>
    <w:p w14:paraId="3319396F" w14:textId="63674B9A" w:rsidR="005F7DDF" w:rsidRPr="00977ADC" w:rsidRDefault="001723FE" w:rsidP="001723FE">
      <w:pPr>
        <w:spacing w:after="0"/>
        <w:rPr>
          <w:vertAlign w:val="superscript"/>
        </w:rPr>
      </w:pPr>
      <w:bookmarkStart w:id="1" w:name="_Hlk132119016"/>
      <w:r w:rsidRPr="00977ADC">
        <w:t>Biomarker testing is recommended in advanced</w:t>
      </w:r>
      <w:r w:rsidR="00722792" w:rsidRPr="00977ADC">
        <w:t xml:space="preserve"> and </w:t>
      </w:r>
      <w:r w:rsidR="00CA0D9A" w:rsidRPr="00977ADC">
        <w:t>metastatic</w:t>
      </w:r>
      <w:r w:rsidRPr="00977ADC">
        <w:t xml:space="preserve"> </w:t>
      </w:r>
      <w:r w:rsidR="00AB04F9" w:rsidRPr="00977ADC">
        <w:t>non-small cell lung</w:t>
      </w:r>
      <w:r w:rsidR="00F578B3" w:rsidRPr="00977ADC">
        <w:t xml:space="preserve"> cancer</w:t>
      </w:r>
      <w:r w:rsidR="00722792" w:rsidRPr="00977ADC">
        <w:t xml:space="preserve"> (</w:t>
      </w:r>
      <w:proofErr w:type="spellStart"/>
      <w:r w:rsidR="00722792" w:rsidRPr="00977ADC">
        <w:t>mNSCLC</w:t>
      </w:r>
      <w:proofErr w:type="spellEnd"/>
      <w:r w:rsidR="00722792" w:rsidRPr="00977ADC">
        <w:t>)</w:t>
      </w:r>
      <w:r w:rsidR="00CA0D9A" w:rsidRPr="00977ADC">
        <w:t xml:space="preserve"> to determine therapy</w:t>
      </w:r>
      <w:r w:rsidR="00AB04F9" w:rsidRPr="00977ADC">
        <w:t xml:space="preserve"> </w:t>
      </w:r>
      <w:r w:rsidRPr="00977ADC">
        <w:t xml:space="preserve">by the National Comprehensive Cancer Network, European Society for Medical Oncology, </w:t>
      </w:r>
      <w:r w:rsidR="00485CA7" w:rsidRPr="00977ADC">
        <w:t xml:space="preserve">and </w:t>
      </w:r>
      <w:r w:rsidRPr="00977ADC">
        <w:t>American Society of Clinical Oncology</w:t>
      </w:r>
      <w:r w:rsidR="00485CA7" w:rsidRPr="00977ADC">
        <w:t xml:space="preserve">. </w:t>
      </w:r>
      <w:r w:rsidR="003D32EC" w:rsidRPr="00977ADC">
        <w:t>Furthermore, t</w:t>
      </w:r>
      <w:r w:rsidR="00485CA7" w:rsidRPr="00977ADC">
        <w:t xml:space="preserve">he </w:t>
      </w:r>
      <w:r w:rsidRPr="00977ADC">
        <w:t>College of American Pathologist</w:t>
      </w:r>
      <w:r w:rsidR="00697A69" w:rsidRPr="00977ADC">
        <w:t xml:space="preserve"> (CAP)</w:t>
      </w:r>
      <w:r w:rsidR="003D32EC" w:rsidRPr="00977ADC">
        <w:t xml:space="preserve">, </w:t>
      </w:r>
      <w:r w:rsidRPr="00977ADC">
        <w:t>International Association for the Study of Lung Cancer</w:t>
      </w:r>
      <w:r w:rsidR="00697A69" w:rsidRPr="00977ADC">
        <w:t xml:space="preserve"> (IASLC)</w:t>
      </w:r>
      <w:r w:rsidR="003D32EC" w:rsidRPr="00977ADC">
        <w:t xml:space="preserve">, and </w:t>
      </w:r>
      <w:r w:rsidRPr="00977ADC">
        <w:t>Association for Molecular Pathology</w:t>
      </w:r>
      <w:r w:rsidR="00697A69" w:rsidRPr="00977ADC">
        <w:t xml:space="preserve"> (AMP)</w:t>
      </w:r>
      <w:r w:rsidRPr="00977ADC">
        <w:t xml:space="preserve"> </w:t>
      </w:r>
      <w:r w:rsidR="00485CA7" w:rsidRPr="00977ADC">
        <w:t xml:space="preserve">guideline </w:t>
      </w:r>
      <w:r w:rsidRPr="00977ADC">
        <w:t xml:space="preserve">recommends a standard biomarker testing turnaround time </w:t>
      </w:r>
      <w:r w:rsidR="00DE6CDE" w:rsidRPr="00977ADC">
        <w:t>of less than</w:t>
      </w:r>
      <w:r w:rsidRPr="00977ADC">
        <w:t xml:space="preserve"> 14 days </w:t>
      </w:r>
      <w:r w:rsidR="00606E4F" w:rsidRPr="00977ADC">
        <w:t>to</w:t>
      </w:r>
      <w:r w:rsidRPr="00977ADC">
        <w:t xml:space="preserve"> direct potential targeted therapy</w:t>
      </w:r>
      <w:r w:rsidR="00AB04F9" w:rsidRPr="00977ADC">
        <w:t>.</w:t>
      </w:r>
      <w:r w:rsidR="00977ADC">
        <w:t xml:space="preserve"> </w:t>
      </w:r>
      <w:r w:rsidRPr="00977ADC">
        <w:t xml:space="preserve">Despite compelling evidence </w:t>
      </w:r>
      <w:r w:rsidR="00CA0D9A" w:rsidRPr="00977ADC">
        <w:t>to</w:t>
      </w:r>
      <w:r w:rsidRPr="00977ADC">
        <w:t xml:space="preserve"> support biomarker testing</w:t>
      </w:r>
      <w:r w:rsidR="00CA0D9A" w:rsidRPr="00977ADC">
        <w:t>,</w:t>
      </w:r>
      <w:r w:rsidR="005D7694" w:rsidRPr="00977ADC">
        <w:rPr>
          <w:color w:val="FF0000"/>
        </w:rPr>
        <w:t xml:space="preserve"> </w:t>
      </w:r>
      <w:r w:rsidRPr="00977ADC">
        <w:t>the MYLUNG Consortium study</w:t>
      </w:r>
      <w:r w:rsidR="005D7694" w:rsidRPr="00977ADC">
        <w:t xml:space="preserve"> </w:t>
      </w:r>
      <w:r w:rsidRPr="00977ADC">
        <w:t>revealed that less than 50% of patients received all recommended biomarker tests in community-based oncology practices.</w:t>
      </w:r>
      <w:r w:rsidR="00D70190" w:rsidRPr="00977ADC">
        <w:t xml:space="preserve"> T</w:t>
      </w:r>
      <w:r w:rsidR="00251C42" w:rsidRPr="00977ADC">
        <w:t>he purpose of this project was to evaluate</w:t>
      </w:r>
      <w:r w:rsidR="00920DFE" w:rsidRPr="00977ADC">
        <w:t xml:space="preserve"> </w:t>
      </w:r>
      <w:r w:rsidR="00251C42" w:rsidRPr="00977ADC">
        <w:t xml:space="preserve">baseline biomarker testing </w:t>
      </w:r>
      <w:r w:rsidR="003D32EC" w:rsidRPr="00977ADC">
        <w:t>rates for</w:t>
      </w:r>
      <w:r w:rsidR="00A327AB" w:rsidRPr="00977ADC">
        <w:t xml:space="preserve"> </w:t>
      </w:r>
      <w:proofErr w:type="spellStart"/>
      <w:r w:rsidR="00A327AB" w:rsidRPr="00977ADC">
        <w:t>mNSCLC</w:t>
      </w:r>
      <w:proofErr w:type="spellEnd"/>
      <w:r w:rsidR="00722792" w:rsidRPr="00977ADC">
        <w:t xml:space="preserve"> </w:t>
      </w:r>
      <w:r w:rsidR="00A327AB" w:rsidRPr="00977ADC">
        <w:t xml:space="preserve">patients </w:t>
      </w:r>
      <w:r w:rsidR="00251C42" w:rsidRPr="00977ADC">
        <w:t xml:space="preserve">within the </w:t>
      </w:r>
      <w:r w:rsidR="00A327AB" w:rsidRPr="00977ADC">
        <w:t>YNHHS</w:t>
      </w:r>
      <w:r w:rsidR="00CA3128" w:rsidRPr="00977ADC">
        <w:t>.</w:t>
      </w:r>
    </w:p>
    <w:p w14:paraId="1266E8FF" w14:textId="11053902" w:rsidR="00997910" w:rsidRPr="00977ADC" w:rsidRDefault="00997910" w:rsidP="00B8723C">
      <w:pPr>
        <w:spacing w:after="0"/>
      </w:pPr>
    </w:p>
    <w:p w14:paraId="1068C850" w14:textId="0CCC33E8" w:rsidR="00997910" w:rsidRPr="00977ADC" w:rsidRDefault="00997910" w:rsidP="00B8723C">
      <w:pPr>
        <w:spacing w:after="0"/>
      </w:pPr>
      <w:r w:rsidRPr="00977ADC">
        <w:rPr>
          <w:b/>
          <w:bCs/>
        </w:rPr>
        <w:t>Methods</w:t>
      </w:r>
      <w:r w:rsidRPr="00977ADC">
        <w:t>:</w:t>
      </w:r>
    </w:p>
    <w:p w14:paraId="5D02656D" w14:textId="5F548610" w:rsidR="001D7630" w:rsidRPr="00977ADC" w:rsidRDefault="00722792" w:rsidP="00616BF3">
      <w:pPr>
        <w:spacing w:after="0"/>
      </w:pPr>
      <w:r w:rsidRPr="00977ADC">
        <w:t xml:space="preserve">An </w:t>
      </w:r>
      <w:r w:rsidR="00D74715" w:rsidRPr="00977ADC">
        <w:t>IRB exemption approv</w:t>
      </w:r>
      <w:r w:rsidR="00AF0DE0" w:rsidRPr="00977ADC">
        <w:t>al</w:t>
      </w:r>
      <w:r w:rsidR="00D74715" w:rsidRPr="00977ADC">
        <w:t xml:space="preserve"> was obtained</w:t>
      </w:r>
      <w:r w:rsidR="005D7694" w:rsidRPr="00977ADC">
        <w:t>.</w:t>
      </w:r>
      <w:r w:rsidR="00D74715" w:rsidRPr="00977ADC">
        <w:t xml:space="preserve"> </w:t>
      </w:r>
      <w:r w:rsidR="00D11A40" w:rsidRPr="00977ADC">
        <w:t xml:space="preserve">A retrospective chart review of all patients with newly diagnosed </w:t>
      </w:r>
      <w:proofErr w:type="spellStart"/>
      <w:r w:rsidR="00D11A40" w:rsidRPr="00977ADC">
        <w:t>mNSCLC</w:t>
      </w:r>
      <w:proofErr w:type="spellEnd"/>
      <w:r w:rsidR="00D11A40" w:rsidRPr="00977ADC">
        <w:t xml:space="preserve"> from June 1, 2021 through May 31, 2022 was performed. Patients from satellite oncology practices and main cancer center within YNHHS were included. </w:t>
      </w:r>
      <w:r w:rsidR="00390A02" w:rsidRPr="00977ADC">
        <w:t>P</w:t>
      </w:r>
      <w:r w:rsidR="00485CA7" w:rsidRPr="00977ADC">
        <w:t>atients</w:t>
      </w:r>
      <w:r w:rsidR="00CF7749" w:rsidRPr="00977ADC">
        <w:t xml:space="preserve"> at least</w:t>
      </w:r>
      <w:r w:rsidR="0034577D" w:rsidRPr="00977ADC">
        <w:t xml:space="preserve"> 18 years of age</w:t>
      </w:r>
      <w:r w:rsidR="00485CA7" w:rsidRPr="00977ADC">
        <w:t xml:space="preserve"> </w:t>
      </w:r>
      <w:r w:rsidR="0034577D" w:rsidRPr="00977ADC">
        <w:t>who had a minimum follow-up duration of at least 30 days after first</w:t>
      </w:r>
      <w:r w:rsidR="00EB22A4" w:rsidRPr="00977ADC">
        <w:t xml:space="preserve"> </w:t>
      </w:r>
      <w:r w:rsidR="0034577D" w:rsidRPr="00977ADC">
        <w:t>line treatment initiation</w:t>
      </w:r>
      <w:r w:rsidR="000C5E45" w:rsidRPr="00977ADC">
        <w:t xml:space="preserve"> during the </w:t>
      </w:r>
      <w:r w:rsidR="006B48B7" w:rsidRPr="00977ADC">
        <w:t>study</w:t>
      </w:r>
      <w:r w:rsidR="000C5E45" w:rsidRPr="00977ADC">
        <w:t xml:space="preserve"> timeframe</w:t>
      </w:r>
      <w:r w:rsidR="00390A02" w:rsidRPr="00977ADC">
        <w:t xml:space="preserve"> were included</w:t>
      </w:r>
      <w:r w:rsidR="000C5E45" w:rsidRPr="00977ADC">
        <w:t xml:space="preserve">. </w:t>
      </w:r>
      <w:r w:rsidR="00390A02" w:rsidRPr="00977ADC">
        <w:t xml:space="preserve">Patients were excluded if they had </w:t>
      </w:r>
      <w:r w:rsidR="000C5E45" w:rsidRPr="00977ADC">
        <w:t xml:space="preserve">more than </w:t>
      </w:r>
      <w:r w:rsidR="00EB22A4" w:rsidRPr="00977ADC">
        <w:t>one</w:t>
      </w:r>
      <w:r w:rsidR="000C5E45" w:rsidRPr="00977ADC">
        <w:t xml:space="preserve"> concurrent primary cancer.</w:t>
      </w:r>
      <w:r w:rsidR="009E2EEC" w:rsidRPr="00977ADC">
        <w:t xml:space="preserve"> </w:t>
      </w:r>
      <w:r w:rsidR="00DA1D52" w:rsidRPr="00977ADC">
        <w:t xml:space="preserve">The primary endpoint was to assess biomarker testing rates for </w:t>
      </w:r>
      <w:proofErr w:type="spellStart"/>
      <w:r w:rsidR="00A327AB" w:rsidRPr="00977ADC">
        <w:t>mNSCLC</w:t>
      </w:r>
      <w:proofErr w:type="spellEnd"/>
      <w:r w:rsidR="00A327AB" w:rsidRPr="00977ADC">
        <w:t xml:space="preserve"> </w:t>
      </w:r>
      <w:r w:rsidR="00DA1D52" w:rsidRPr="00977ADC">
        <w:t xml:space="preserve">patients. </w:t>
      </w:r>
      <w:r w:rsidR="00276173" w:rsidRPr="00977ADC">
        <w:t>S</w:t>
      </w:r>
      <w:r w:rsidR="00DA1D52" w:rsidRPr="00977ADC">
        <w:t xml:space="preserve">econdary endpoints </w:t>
      </w:r>
      <w:r w:rsidR="00276173" w:rsidRPr="00977ADC">
        <w:t>included</w:t>
      </w:r>
      <w:r w:rsidR="00DA1D52" w:rsidRPr="00977ADC">
        <w:t xml:space="preserve"> key turnaround times for diagnosis to test order, test order to test results, test results to first line treatment, and diagnosis to first</w:t>
      </w:r>
      <w:r w:rsidR="00EB22A4" w:rsidRPr="00977ADC">
        <w:t xml:space="preserve"> </w:t>
      </w:r>
      <w:r w:rsidR="00B86D26" w:rsidRPr="00977ADC">
        <w:t>line</w:t>
      </w:r>
      <w:r w:rsidR="00DA1D52" w:rsidRPr="00977ADC">
        <w:t xml:space="preserve"> treatment.</w:t>
      </w:r>
      <w:r w:rsidR="00351486" w:rsidRPr="00977ADC">
        <w:t xml:space="preserve"> </w:t>
      </w:r>
      <w:r w:rsidR="001D7630" w:rsidRPr="00977ADC">
        <w:t>Descriptive statistics was performed to complete</w:t>
      </w:r>
      <w:r w:rsidR="003F5AA6" w:rsidRPr="00977ADC">
        <w:t xml:space="preserve"> the</w:t>
      </w:r>
      <w:r w:rsidR="001D7630" w:rsidRPr="00977ADC">
        <w:t xml:space="preserve"> data analysis </w:t>
      </w:r>
      <w:r w:rsidR="003F5AA6" w:rsidRPr="00977ADC">
        <w:t xml:space="preserve">portion of </w:t>
      </w:r>
      <w:r w:rsidR="001D7630" w:rsidRPr="00977ADC">
        <w:t>this study.</w:t>
      </w:r>
    </w:p>
    <w:p w14:paraId="39A179F7" w14:textId="77777777" w:rsidR="00CE2B7D" w:rsidRPr="00977ADC" w:rsidRDefault="00CE2B7D" w:rsidP="00B8723C">
      <w:pPr>
        <w:spacing w:after="0"/>
      </w:pPr>
    </w:p>
    <w:p w14:paraId="60749EC8" w14:textId="2823E6CA" w:rsidR="00997910" w:rsidRPr="00977ADC" w:rsidRDefault="00997910" w:rsidP="00B8723C">
      <w:pPr>
        <w:spacing w:after="0"/>
      </w:pPr>
      <w:r w:rsidRPr="00977ADC">
        <w:rPr>
          <w:b/>
          <w:bCs/>
        </w:rPr>
        <w:t>Results:</w:t>
      </w:r>
    </w:p>
    <w:p w14:paraId="22D46545" w14:textId="2B90E5C1" w:rsidR="002B7C5D" w:rsidRPr="00977ADC" w:rsidRDefault="0018122E" w:rsidP="00B8723C">
      <w:pPr>
        <w:spacing w:after="0"/>
      </w:pPr>
      <w:r w:rsidRPr="00977ADC">
        <w:t xml:space="preserve">One-hundred and forty-four patients met inclusion criteria. </w:t>
      </w:r>
      <w:r w:rsidR="00A225CA" w:rsidRPr="00977ADC">
        <w:t>The biomarker testing rate was 93.</w:t>
      </w:r>
      <w:r w:rsidR="00911DF1" w:rsidRPr="00977ADC">
        <w:t>8</w:t>
      </w:r>
      <w:r w:rsidR="00A225CA" w:rsidRPr="00977ADC">
        <w:t>% in the overall patient population and 99.2% in the non-squamous patient population. When assessing for patients who received all 4 biomarkers (EGFR, ALK, ROS1 BRAF), the testing rate was 90.3% in the overall patient population and 97.5% in the non-squamous patient population.</w:t>
      </w:r>
      <w:r w:rsidR="00977ADC">
        <w:t xml:space="preserve"> </w:t>
      </w:r>
      <w:r w:rsidR="00D870B4" w:rsidRPr="00977ADC">
        <w:t>One-hundred and five</w:t>
      </w:r>
      <w:r w:rsidR="007F6AFA" w:rsidRPr="00977ADC">
        <w:t xml:space="preserve"> patients</w:t>
      </w:r>
      <w:r w:rsidRPr="00977ADC">
        <w:t xml:space="preserve"> (72.9%)</w:t>
      </w:r>
      <w:r w:rsidR="007F6AFA" w:rsidRPr="00977ADC">
        <w:t xml:space="preserve"> had biomarker test results </w:t>
      </w:r>
      <w:r w:rsidR="00D870B4" w:rsidRPr="00977ADC">
        <w:t>and</w:t>
      </w:r>
      <w:r w:rsidR="007F6AFA" w:rsidRPr="00977ADC">
        <w:t xml:space="preserve"> started first</w:t>
      </w:r>
      <w:r w:rsidR="00EB22A4" w:rsidRPr="00977ADC">
        <w:t xml:space="preserve"> </w:t>
      </w:r>
      <w:r w:rsidR="007F6AFA" w:rsidRPr="00977ADC">
        <w:t>line treatment</w:t>
      </w:r>
      <w:r w:rsidR="00D870B4" w:rsidRPr="00977ADC">
        <w:t xml:space="preserve"> </w:t>
      </w:r>
      <w:r w:rsidR="006B48B7" w:rsidRPr="00977ADC">
        <w:t>within</w:t>
      </w:r>
      <w:r w:rsidR="007F6AFA" w:rsidRPr="00977ADC">
        <w:t xml:space="preserve"> the study timeframe. </w:t>
      </w:r>
      <w:r w:rsidR="00606E4F" w:rsidRPr="00977ADC">
        <w:t>Of th</w:t>
      </w:r>
      <w:r w:rsidR="00653188" w:rsidRPr="00977ADC">
        <w:t xml:space="preserve">e </w:t>
      </w:r>
      <w:r w:rsidR="00606E4F" w:rsidRPr="00977ADC">
        <w:t xml:space="preserve">105 patients, </w:t>
      </w:r>
      <w:r w:rsidR="00B950CE" w:rsidRPr="00977ADC">
        <w:t xml:space="preserve">88 patients </w:t>
      </w:r>
      <w:r w:rsidR="00D870B4" w:rsidRPr="00977ADC">
        <w:t>(83.8%) received</w:t>
      </w:r>
      <w:r w:rsidR="00B950CE" w:rsidRPr="00977ADC">
        <w:t xml:space="preserve"> biomarker test results before first</w:t>
      </w:r>
      <w:r w:rsidR="00EB22A4" w:rsidRPr="00977ADC">
        <w:t xml:space="preserve"> </w:t>
      </w:r>
      <w:r w:rsidR="00B950CE" w:rsidRPr="00977ADC">
        <w:t xml:space="preserve">line treatment </w:t>
      </w:r>
      <w:r w:rsidR="0083245B" w:rsidRPr="00977ADC">
        <w:t xml:space="preserve">initiation. The median days from diagnosis to test order was 2 days, test order to test results was 17 days, test results to first line treatment was 17 days, and diagnosis to first line treatment was 42 days. Only 16.2% of patients </w:t>
      </w:r>
      <w:r w:rsidR="00B76074" w:rsidRPr="00977ADC">
        <w:t xml:space="preserve">with </w:t>
      </w:r>
      <w:r w:rsidR="0083245B" w:rsidRPr="00977ADC">
        <w:t xml:space="preserve">biomarker test orders </w:t>
      </w:r>
      <w:r w:rsidR="00B76074" w:rsidRPr="00977ADC">
        <w:t xml:space="preserve">had </w:t>
      </w:r>
      <w:r w:rsidR="0083245B" w:rsidRPr="00977ADC">
        <w:t xml:space="preserve">results </w:t>
      </w:r>
      <w:r w:rsidR="00B76074" w:rsidRPr="00977ADC">
        <w:t xml:space="preserve">available </w:t>
      </w:r>
      <w:r w:rsidR="0083245B" w:rsidRPr="00977ADC">
        <w:t>within 14 days.</w:t>
      </w:r>
      <w:r w:rsidR="00977ADC">
        <w:t xml:space="preserve"> </w:t>
      </w:r>
      <w:r w:rsidR="002B7C5D" w:rsidRPr="00977ADC">
        <w:t>The median age was 72 years. Nearly 85% of the patients were of non-squamous origin. Eighty-two patients (56.9%) were from satellite oncology practices and the remaining 62 patients (43%) from the main cancer center. Out of the 144 patients, 135 patients (93.8%) received biomarker test orders. Only 17 (12.6%) of those biomarker tests were performed externally. Thirty patients (22%) were identified with driver mutations, with the majority being EGFR mutations.</w:t>
      </w:r>
    </w:p>
    <w:p w14:paraId="3C0CEC8E" w14:textId="77777777" w:rsidR="00425C61" w:rsidRPr="00977ADC" w:rsidRDefault="00425C61" w:rsidP="00B8723C">
      <w:pPr>
        <w:spacing w:after="0"/>
      </w:pPr>
    </w:p>
    <w:p w14:paraId="0F9C5D6F" w14:textId="32B63FBD" w:rsidR="00997910" w:rsidRPr="00977ADC" w:rsidRDefault="00997910" w:rsidP="00B8723C">
      <w:pPr>
        <w:spacing w:after="0"/>
      </w:pPr>
      <w:r w:rsidRPr="00977ADC">
        <w:rPr>
          <w:b/>
          <w:bCs/>
        </w:rPr>
        <w:t>Conclusion:</w:t>
      </w:r>
    </w:p>
    <w:p w14:paraId="07AAC9AE" w14:textId="74C16CF6" w:rsidR="0064338C" w:rsidRPr="00977ADC" w:rsidRDefault="005B4D39" w:rsidP="005B4D39">
      <w:pPr>
        <w:spacing w:after="0"/>
      </w:pPr>
      <w:r w:rsidRPr="00977ADC">
        <w:t xml:space="preserve">This study revealed that more than 90% of patients at </w:t>
      </w:r>
      <w:r w:rsidR="00B76074" w:rsidRPr="00977ADC">
        <w:t xml:space="preserve">YNHHS had </w:t>
      </w:r>
      <w:r w:rsidRPr="00977ADC">
        <w:t>biomarker test orders</w:t>
      </w:r>
      <w:r w:rsidR="00B76074" w:rsidRPr="00977ADC">
        <w:t xml:space="preserve"> for </w:t>
      </w:r>
      <w:proofErr w:type="spellStart"/>
      <w:r w:rsidR="00B76074" w:rsidRPr="00977ADC">
        <w:t>mNSCLC</w:t>
      </w:r>
      <w:proofErr w:type="spellEnd"/>
      <w:r w:rsidR="009C058F" w:rsidRPr="00977ADC">
        <w:t xml:space="preserve">, </w:t>
      </w:r>
      <w:r w:rsidRPr="00977ADC">
        <w:t xml:space="preserve">and over 80% of patients received biomarker testing results prior to </w:t>
      </w:r>
      <w:r w:rsidR="009C058F" w:rsidRPr="00977ADC">
        <w:t>first</w:t>
      </w:r>
      <w:r w:rsidR="00EB22A4" w:rsidRPr="00977ADC">
        <w:t xml:space="preserve"> </w:t>
      </w:r>
      <w:r w:rsidR="009C058F" w:rsidRPr="00977ADC">
        <w:t>line</w:t>
      </w:r>
      <w:r w:rsidRPr="00977ADC">
        <w:t xml:space="preserve"> treatment initiation. The high testing rate</w:t>
      </w:r>
      <w:r w:rsidR="009C058F" w:rsidRPr="00977ADC">
        <w:t>s</w:t>
      </w:r>
      <w:r w:rsidRPr="00977ADC">
        <w:t xml:space="preserve"> reflect</w:t>
      </w:r>
      <w:r w:rsidR="009C058F" w:rsidRPr="00977ADC">
        <w:t xml:space="preserve"> </w:t>
      </w:r>
      <w:r w:rsidR="00254B07" w:rsidRPr="00977ADC">
        <w:t xml:space="preserve">the application of </w:t>
      </w:r>
      <w:r w:rsidR="00B76074" w:rsidRPr="00977ADC">
        <w:t xml:space="preserve">evidence-based practice </w:t>
      </w:r>
      <w:r w:rsidR="00254B07" w:rsidRPr="00977ADC">
        <w:t xml:space="preserve">through following </w:t>
      </w:r>
      <w:r w:rsidR="00B76074" w:rsidRPr="00977ADC">
        <w:t>current guideline</w:t>
      </w:r>
      <w:r w:rsidR="00254B07" w:rsidRPr="00977ADC">
        <w:t xml:space="preserve"> recommendations for biomarker testing. </w:t>
      </w:r>
      <w:r w:rsidRPr="00977ADC">
        <w:t xml:space="preserve">However, only 16% of patients met </w:t>
      </w:r>
      <w:r w:rsidR="009027F6" w:rsidRPr="00977ADC">
        <w:t xml:space="preserve">CAP/IASLC/AMP </w:t>
      </w:r>
      <w:r w:rsidRPr="00977ADC">
        <w:t>recommendations of receiving biomarker results within 14 days to direct therapy.</w:t>
      </w:r>
      <w:r w:rsidR="009C058F" w:rsidRPr="00977ADC">
        <w:t xml:space="preserve"> </w:t>
      </w:r>
      <w:r w:rsidR="009027F6" w:rsidRPr="00977ADC">
        <w:t xml:space="preserve">Future directions include operationalizing a best practice model </w:t>
      </w:r>
      <w:r w:rsidR="00254B07" w:rsidRPr="00977ADC">
        <w:t xml:space="preserve">for both ordering biomarker tests and obtaining test results in a timely manner. </w:t>
      </w:r>
      <w:r w:rsidR="009027F6" w:rsidRPr="00977ADC">
        <w:t xml:space="preserve">Other </w:t>
      </w:r>
      <w:r w:rsidR="009D3BDA" w:rsidRPr="00977ADC">
        <w:t>steps would be to identify barriers, explore strategies to minimize turnaround times, and potentially establish recommendations for turnaround time from biomarker test results to first line treatment.</w:t>
      </w:r>
      <w:bookmarkEnd w:id="0"/>
      <w:bookmarkEnd w:id="1"/>
    </w:p>
    <w:p w14:paraId="61505123" w14:textId="0700B7C9" w:rsidR="002F73AB" w:rsidRPr="00977ADC" w:rsidRDefault="002F73AB" w:rsidP="005B4D39">
      <w:pPr>
        <w:spacing w:after="0"/>
      </w:pPr>
    </w:p>
    <w:sectPr w:rsidR="002F73AB" w:rsidRPr="00977ADC" w:rsidSect="00616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071"/>
    <w:multiLevelType w:val="hybridMultilevel"/>
    <w:tmpl w:val="D4208D80"/>
    <w:lvl w:ilvl="0" w:tplc="342E598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308"/>
    <w:multiLevelType w:val="hybridMultilevel"/>
    <w:tmpl w:val="DBE45882"/>
    <w:lvl w:ilvl="0" w:tplc="04DE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2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4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0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7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667431">
    <w:abstractNumId w:val="0"/>
  </w:num>
  <w:num w:numId="2" w16cid:durableId="57019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3C"/>
    <w:rsid w:val="00021D49"/>
    <w:rsid w:val="0007020E"/>
    <w:rsid w:val="000852A5"/>
    <w:rsid w:val="000B260E"/>
    <w:rsid w:val="000B7A59"/>
    <w:rsid w:val="000C5E45"/>
    <w:rsid w:val="00132358"/>
    <w:rsid w:val="001654C4"/>
    <w:rsid w:val="001723FE"/>
    <w:rsid w:val="0018122E"/>
    <w:rsid w:val="0018467E"/>
    <w:rsid w:val="00194567"/>
    <w:rsid w:val="001D7630"/>
    <w:rsid w:val="0024705C"/>
    <w:rsid w:val="00251C42"/>
    <w:rsid w:val="00254B07"/>
    <w:rsid w:val="00271B4D"/>
    <w:rsid w:val="00276173"/>
    <w:rsid w:val="00283402"/>
    <w:rsid w:val="002863FD"/>
    <w:rsid w:val="002A1F37"/>
    <w:rsid w:val="002A37D0"/>
    <w:rsid w:val="002B7C5D"/>
    <w:rsid w:val="002F1346"/>
    <w:rsid w:val="002F73AB"/>
    <w:rsid w:val="0030554A"/>
    <w:rsid w:val="00334122"/>
    <w:rsid w:val="0034577D"/>
    <w:rsid w:val="00351486"/>
    <w:rsid w:val="00390A02"/>
    <w:rsid w:val="003921E6"/>
    <w:rsid w:val="00396094"/>
    <w:rsid w:val="003D29DA"/>
    <w:rsid w:val="003D32EC"/>
    <w:rsid w:val="003F5AA6"/>
    <w:rsid w:val="00425C61"/>
    <w:rsid w:val="00432670"/>
    <w:rsid w:val="00485CA7"/>
    <w:rsid w:val="004A212E"/>
    <w:rsid w:val="004C246A"/>
    <w:rsid w:val="004E6111"/>
    <w:rsid w:val="0051523A"/>
    <w:rsid w:val="005436C5"/>
    <w:rsid w:val="00554922"/>
    <w:rsid w:val="00574A15"/>
    <w:rsid w:val="005B4D39"/>
    <w:rsid w:val="005C37BC"/>
    <w:rsid w:val="005D7694"/>
    <w:rsid w:val="005E67CB"/>
    <w:rsid w:val="005F7DDF"/>
    <w:rsid w:val="00606E4F"/>
    <w:rsid w:val="00616100"/>
    <w:rsid w:val="00616BF3"/>
    <w:rsid w:val="006404FD"/>
    <w:rsid w:val="0064338C"/>
    <w:rsid w:val="00653188"/>
    <w:rsid w:val="00681A74"/>
    <w:rsid w:val="006823F0"/>
    <w:rsid w:val="00697A69"/>
    <w:rsid w:val="006B48B7"/>
    <w:rsid w:val="006B48F0"/>
    <w:rsid w:val="00722792"/>
    <w:rsid w:val="007644AF"/>
    <w:rsid w:val="00776D09"/>
    <w:rsid w:val="007776BA"/>
    <w:rsid w:val="007F6AFA"/>
    <w:rsid w:val="00831E36"/>
    <w:rsid w:val="0083245B"/>
    <w:rsid w:val="008567C6"/>
    <w:rsid w:val="00880FDF"/>
    <w:rsid w:val="00897E76"/>
    <w:rsid w:val="009027F6"/>
    <w:rsid w:val="00905A89"/>
    <w:rsid w:val="00911DF1"/>
    <w:rsid w:val="00920DFE"/>
    <w:rsid w:val="00940089"/>
    <w:rsid w:val="009705FC"/>
    <w:rsid w:val="00977AA0"/>
    <w:rsid w:val="00977ADC"/>
    <w:rsid w:val="00997910"/>
    <w:rsid w:val="009B47D6"/>
    <w:rsid w:val="009C0001"/>
    <w:rsid w:val="009C058F"/>
    <w:rsid w:val="009D3BDA"/>
    <w:rsid w:val="009E1FE6"/>
    <w:rsid w:val="009E2EEC"/>
    <w:rsid w:val="00A225CA"/>
    <w:rsid w:val="00A327AB"/>
    <w:rsid w:val="00A327DE"/>
    <w:rsid w:val="00AB04F9"/>
    <w:rsid w:val="00AD62E6"/>
    <w:rsid w:val="00AD6C4C"/>
    <w:rsid w:val="00AF0DE0"/>
    <w:rsid w:val="00B16C21"/>
    <w:rsid w:val="00B40344"/>
    <w:rsid w:val="00B76074"/>
    <w:rsid w:val="00B86D26"/>
    <w:rsid w:val="00B8723C"/>
    <w:rsid w:val="00B87877"/>
    <w:rsid w:val="00B950CE"/>
    <w:rsid w:val="00BB01F2"/>
    <w:rsid w:val="00BE3717"/>
    <w:rsid w:val="00C147F4"/>
    <w:rsid w:val="00C233FD"/>
    <w:rsid w:val="00C64BB6"/>
    <w:rsid w:val="00C708DB"/>
    <w:rsid w:val="00C97232"/>
    <w:rsid w:val="00CA0D9A"/>
    <w:rsid w:val="00CA3128"/>
    <w:rsid w:val="00CE2B7D"/>
    <w:rsid w:val="00CF7749"/>
    <w:rsid w:val="00D11A40"/>
    <w:rsid w:val="00D16D14"/>
    <w:rsid w:val="00D52757"/>
    <w:rsid w:val="00D631A2"/>
    <w:rsid w:val="00D70190"/>
    <w:rsid w:val="00D74715"/>
    <w:rsid w:val="00D870B4"/>
    <w:rsid w:val="00DA1D52"/>
    <w:rsid w:val="00DE6CDE"/>
    <w:rsid w:val="00E0415D"/>
    <w:rsid w:val="00E10E42"/>
    <w:rsid w:val="00E56FFC"/>
    <w:rsid w:val="00E809C5"/>
    <w:rsid w:val="00E8155D"/>
    <w:rsid w:val="00EB05A8"/>
    <w:rsid w:val="00EB22A4"/>
    <w:rsid w:val="00EF7B08"/>
    <w:rsid w:val="00F55E88"/>
    <w:rsid w:val="00F5711A"/>
    <w:rsid w:val="00F578B3"/>
    <w:rsid w:val="00F6761E"/>
    <w:rsid w:val="00F70665"/>
    <w:rsid w:val="00F85214"/>
    <w:rsid w:val="00FB0B75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498D"/>
  <w15:chartTrackingRefBased/>
  <w15:docId w15:val="{D64A59A9-576F-4F5C-9166-890A2C30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3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7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383A-E107-4076-A930-EDA9833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Zhao</dc:creator>
  <cp:keywords/>
  <dc:description/>
  <cp:lastModifiedBy>Zhao, Jessica</cp:lastModifiedBy>
  <cp:revision>2</cp:revision>
  <dcterms:created xsi:type="dcterms:W3CDTF">2023-04-14T15:47:00Z</dcterms:created>
  <dcterms:modified xsi:type="dcterms:W3CDTF">2023-04-14T15:47:00Z</dcterms:modified>
</cp:coreProperties>
</file>